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917AD" w14:textId="6018E573" w:rsidR="0004476E" w:rsidRDefault="00DA54B4" w:rsidP="00DA54B4">
      <w:pPr>
        <w:pStyle w:val="ListParagraph"/>
        <w:numPr>
          <w:ilvl w:val="0"/>
          <w:numId w:val="1"/>
        </w:numPr>
      </w:pPr>
      <w:r w:rsidRPr="008C3CE1">
        <w:rPr>
          <w:b/>
        </w:rPr>
        <w:t>Project Title:</w:t>
      </w:r>
      <w:r>
        <w:t xml:space="preserve"> </w:t>
      </w:r>
      <w:bookmarkStart w:id="0" w:name="_Hlk134610076"/>
      <w:r w:rsidR="009B703E" w:rsidRPr="00546A29">
        <w:rPr>
          <w:u w:val="single"/>
        </w:rPr>
        <w:t>Marian Watershed Stewardship Program</w:t>
      </w:r>
      <w:bookmarkEnd w:id="0"/>
    </w:p>
    <w:p w14:paraId="61AE2EA6" w14:textId="77777777" w:rsidR="00AD3725" w:rsidRDefault="00AD3725" w:rsidP="00AD3725">
      <w:pPr>
        <w:pStyle w:val="ListParagraph"/>
      </w:pPr>
    </w:p>
    <w:p w14:paraId="7240783C" w14:textId="77777777" w:rsidR="00DA54B4" w:rsidRPr="008C3CE1" w:rsidRDefault="00DA54B4" w:rsidP="008C3CE1">
      <w:pPr>
        <w:pStyle w:val="ListParagraph"/>
        <w:numPr>
          <w:ilvl w:val="0"/>
          <w:numId w:val="1"/>
        </w:numPr>
        <w:rPr>
          <w:b/>
        </w:rPr>
      </w:pPr>
      <w:r w:rsidRPr="008C3CE1">
        <w:rPr>
          <w:b/>
        </w:rPr>
        <w:t xml:space="preserve">Contact Persons: Organization Names: Addresses: Phone/Fax Numbers: Email addresses: </w:t>
      </w:r>
    </w:p>
    <w:p w14:paraId="2E517F26" w14:textId="77777777" w:rsidR="00DA54B4" w:rsidRDefault="00DA54B4">
      <w:r>
        <w:t xml:space="preserve">Michael Birlea, Manager, Department of Culture and Lands Protection Tłı̨chǫ Government 127 Donda Tili PO Box 412 </w:t>
      </w:r>
      <w:proofErr w:type="spellStart"/>
      <w:r>
        <w:t>Behchokǫ</w:t>
      </w:r>
      <w:proofErr w:type="spellEnd"/>
      <w:r>
        <w:t xml:space="preserve">̀, NT. X0E 0Y0 Phone: 867-392-6381 Ext: 1352 Fax: 867-392-6406 </w:t>
      </w:r>
      <w:hyperlink r:id="rId5" w:history="1">
        <w:r w:rsidRPr="00464BDC">
          <w:rPr>
            <w:rStyle w:val="Hyperlink"/>
          </w:rPr>
          <w:t>Michael.birlea@tlicho.ca</w:t>
        </w:r>
      </w:hyperlink>
    </w:p>
    <w:p w14:paraId="07879745" w14:textId="77777777" w:rsidR="00B83431" w:rsidRDefault="00B83431">
      <w:r>
        <w:t xml:space="preserve">Paul Vecsei, Fisheries Biologist, Department of Culture and Lands Protection Tłı̨chǫ Government 127 Donda Tili PO Box 412 </w:t>
      </w:r>
      <w:proofErr w:type="spellStart"/>
      <w:r>
        <w:t>Behchokǫ</w:t>
      </w:r>
      <w:proofErr w:type="spellEnd"/>
      <w:r>
        <w:t xml:space="preserve">̀, NT. X0E 0Y0 Phone: 867-392-6381 Ext: 1347 Fax: 867-392-6406 </w:t>
      </w:r>
      <w:hyperlink r:id="rId6" w:history="1">
        <w:r w:rsidRPr="00464BDC">
          <w:rPr>
            <w:rStyle w:val="Hyperlink"/>
          </w:rPr>
          <w:t>Paul.vecsei@tlicho.ca</w:t>
        </w:r>
      </w:hyperlink>
    </w:p>
    <w:p w14:paraId="77C2E9F6" w14:textId="77777777" w:rsidR="008C3CE1" w:rsidRPr="008C3CE1" w:rsidRDefault="00DA54B4" w:rsidP="00DA54B4">
      <w:pPr>
        <w:pStyle w:val="ListParagraph"/>
        <w:numPr>
          <w:ilvl w:val="0"/>
          <w:numId w:val="1"/>
        </w:numPr>
      </w:pPr>
      <w:r w:rsidRPr="008C3CE1">
        <w:rPr>
          <w:b/>
        </w:rPr>
        <w:t xml:space="preserve">Management Proposal Summary: provide a summary description of your management proposal (350 words or less). </w:t>
      </w:r>
    </w:p>
    <w:p w14:paraId="0B966F8B" w14:textId="77777777" w:rsidR="008C3CE1" w:rsidRDefault="00DA54B4" w:rsidP="008C3CE1">
      <w:r w:rsidRPr="008C3CE1">
        <w:rPr>
          <w:b/>
        </w:rPr>
        <w:t>Start Date</w:t>
      </w:r>
      <w:r>
        <w:t>: July 1, 202</w:t>
      </w:r>
      <w:r w:rsidR="00B83431">
        <w:t>3</w:t>
      </w:r>
      <w:r>
        <w:t xml:space="preserve"> </w:t>
      </w:r>
    </w:p>
    <w:p w14:paraId="2541CDA3" w14:textId="1E1FF24D" w:rsidR="008C3CE1" w:rsidRDefault="00DA54B4" w:rsidP="008C3CE1">
      <w:r w:rsidRPr="008C3CE1">
        <w:rPr>
          <w:b/>
        </w:rPr>
        <w:t>Projected End Date</w:t>
      </w:r>
      <w:r>
        <w:t xml:space="preserve">: </w:t>
      </w:r>
      <w:r w:rsidR="0015154D">
        <w:t>April</w:t>
      </w:r>
      <w:r>
        <w:t xml:space="preserve"> 1, 202</w:t>
      </w:r>
      <w:r w:rsidR="009B703E">
        <w:t>7</w:t>
      </w:r>
      <w:r>
        <w:t xml:space="preserve"> </w:t>
      </w:r>
    </w:p>
    <w:p w14:paraId="687AAB26" w14:textId="4077B282" w:rsidR="00DA54B4" w:rsidRDefault="008C3CE1" w:rsidP="008C3CE1">
      <w:r w:rsidRPr="008C3CE1">
        <w:rPr>
          <w:b/>
        </w:rPr>
        <w:t>Duration</w:t>
      </w:r>
      <w:r w:rsidR="00DA54B4">
        <w:t xml:space="preserve">: </w:t>
      </w:r>
      <w:r w:rsidR="00C71A70">
        <w:t xml:space="preserve">4 </w:t>
      </w:r>
      <w:r w:rsidR="00DA54B4">
        <w:t xml:space="preserve">years Project Year: 1 of </w:t>
      </w:r>
      <w:r w:rsidR="00C71A70">
        <w:t>4</w:t>
      </w:r>
    </w:p>
    <w:p w14:paraId="4504AED7" w14:textId="37052D24" w:rsidR="003A63C9" w:rsidRPr="00FA5E5D" w:rsidRDefault="008C3CE1" w:rsidP="003A63C9">
      <w:pPr>
        <w:rPr>
          <w:rFonts w:cstheme="minorHAnsi"/>
        </w:rPr>
      </w:pPr>
      <w:r w:rsidRPr="00A41A62">
        <w:rPr>
          <w:b/>
        </w:rPr>
        <w:t>Summary Description:</w:t>
      </w:r>
      <w:r>
        <w:t xml:space="preserve"> </w:t>
      </w:r>
      <w:r w:rsidR="009B703E">
        <w:t>Similar to the TAEMP, t</w:t>
      </w:r>
      <w:r w:rsidR="003A63C9">
        <w:t xml:space="preserve">he </w:t>
      </w:r>
      <w:r w:rsidR="009B703E">
        <w:t xml:space="preserve">Marian Watershed Stewardship Program </w:t>
      </w:r>
      <w:r w:rsidR="0015154D">
        <w:t>(</w:t>
      </w:r>
      <w:r w:rsidR="009B703E">
        <w:t>MWSP</w:t>
      </w:r>
      <w:r w:rsidR="0015154D">
        <w:t>)</w:t>
      </w:r>
      <w:r w:rsidR="003A63C9">
        <w:t xml:space="preserve"> is an annual program operating on a 4-year cycle. Each ye</w:t>
      </w:r>
      <w:r>
        <w:t>a</w:t>
      </w:r>
      <w:r w:rsidR="003A63C9">
        <w:t>r</w:t>
      </w:r>
      <w:r w:rsidR="0015154D">
        <w:t xml:space="preserve"> within the 4-year </w:t>
      </w:r>
      <w:r w:rsidR="00B85B3E">
        <w:t>cycle</w:t>
      </w:r>
      <w:r w:rsidR="0015154D">
        <w:t xml:space="preserve">, a different </w:t>
      </w:r>
      <w:r w:rsidR="009B703E">
        <w:t>location within the Marian River corridor is</w:t>
      </w:r>
      <w:r w:rsidR="003A63C9">
        <w:t xml:space="preserve"> </w:t>
      </w:r>
      <w:r w:rsidR="009B703E">
        <w:t>sampled</w:t>
      </w:r>
      <w:r w:rsidR="003A63C9">
        <w:t xml:space="preserve"> for fish, water and sediment. </w:t>
      </w:r>
      <w:r>
        <w:t>Results are then stored on our database and accumulated. As of now, we are in the 4</w:t>
      </w:r>
      <w:r w:rsidRPr="008C3CE1">
        <w:rPr>
          <w:vertAlign w:val="superscript"/>
        </w:rPr>
        <w:t>th</w:t>
      </w:r>
      <w:r>
        <w:t xml:space="preserve"> cycle of this program so </w:t>
      </w:r>
      <w:r w:rsidR="00A41A62">
        <w:t>3 complete</w:t>
      </w:r>
      <w:r>
        <w:t xml:space="preserve"> data sets exist for each </w:t>
      </w:r>
      <w:r w:rsidR="009B703E">
        <w:t>site</w:t>
      </w:r>
      <w:r>
        <w:t xml:space="preserve">.  </w:t>
      </w:r>
      <w:r w:rsidR="003A63C9">
        <w:t xml:space="preserve">This community-based comparative sampling provides a method to detect and address community concerns related to changes in the environment. </w:t>
      </w:r>
      <w:r>
        <w:t>T</w:t>
      </w:r>
      <w:r w:rsidR="003A63C9">
        <w:t>he program brings together elders, community members and scientists in an outdoor forum where everyone participates in different aspects of the</w:t>
      </w:r>
      <w:r w:rsidR="009B703E">
        <w:t xml:space="preserve"> MWSP</w:t>
      </w:r>
      <w:r w:rsidR="003A63C9">
        <w:t>.</w:t>
      </w:r>
      <w:r w:rsidR="003754DB">
        <w:t xml:space="preserve"> </w:t>
      </w:r>
      <w:r w:rsidR="009B703E">
        <w:t>As a mirror program of the TAEMP, e</w:t>
      </w:r>
      <w:r w:rsidR="003754DB">
        <w:t xml:space="preserve">ach year of the </w:t>
      </w:r>
      <w:r w:rsidR="009B703E">
        <w:t>MWSP</w:t>
      </w:r>
      <w:r w:rsidR="003754DB">
        <w:t xml:space="preserve"> consists of 3 parts</w:t>
      </w:r>
      <w:r w:rsidR="003754DB" w:rsidRPr="00FA5E5D">
        <w:rPr>
          <w:rFonts w:cstheme="minorHAnsi"/>
        </w:rPr>
        <w:t xml:space="preserve">: </w:t>
      </w:r>
    </w:p>
    <w:p w14:paraId="5FB4465F" w14:textId="77777777" w:rsidR="00FA5E5D" w:rsidRPr="00FA5E5D" w:rsidRDefault="00FA5E5D" w:rsidP="00FA5E5D">
      <w:pPr>
        <w:pStyle w:val="ListParagraph"/>
        <w:numPr>
          <w:ilvl w:val="0"/>
          <w:numId w:val="3"/>
        </w:numPr>
        <w:spacing w:after="0" w:line="276" w:lineRule="auto"/>
        <w:rPr>
          <w:rFonts w:cstheme="minorHAnsi"/>
        </w:rPr>
      </w:pPr>
      <w:r w:rsidRPr="00FA5E5D">
        <w:rPr>
          <w:rFonts w:cstheme="minorHAnsi"/>
        </w:rPr>
        <w:t>Introductory and planning workshops;</w:t>
      </w:r>
    </w:p>
    <w:p w14:paraId="21FC834E" w14:textId="77777777" w:rsidR="00FA5E5D" w:rsidRPr="00FA5E5D" w:rsidRDefault="00FA5E5D" w:rsidP="00FA5E5D">
      <w:pPr>
        <w:pStyle w:val="ListParagraph"/>
        <w:numPr>
          <w:ilvl w:val="0"/>
          <w:numId w:val="3"/>
        </w:numPr>
        <w:spacing w:after="0" w:line="276" w:lineRule="auto"/>
        <w:rPr>
          <w:rFonts w:cstheme="minorHAnsi"/>
        </w:rPr>
      </w:pPr>
      <w:r w:rsidRPr="00FA5E5D">
        <w:rPr>
          <w:rFonts w:cstheme="minorHAnsi"/>
        </w:rPr>
        <w:t>On-the land camp where samples were collected; and,</w:t>
      </w:r>
    </w:p>
    <w:p w14:paraId="6F46042D" w14:textId="77777777" w:rsidR="00DA54B4" w:rsidRDefault="00FA5E5D" w:rsidP="008348C7">
      <w:pPr>
        <w:pStyle w:val="ListParagraph"/>
        <w:numPr>
          <w:ilvl w:val="0"/>
          <w:numId w:val="3"/>
        </w:numPr>
        <w:spacing w:after="0" w:line="276" w:lineRule="auto"/>
        <w:rPr>
          <w:rFonts w:cstheme="minorHAnsi"/>
        </w:rPr>
      </w:pPr>
      <w:r w:rsidRPr="00FA5E5D">
        <w:rPr>
          <w:rFonts w:cstheme="minorHAnsi"/>
        </w:rPr>
        <w:t xml:space="preserve">Results workshop </w:t>
      </w:r>
    </w:p>
    <w:p w14:paraId="6C1B1F11" w14:textId="77777777" w:rsidR="008348C7" w:rsidRPr="008348C7" w:rsidRDefault="008348C7" w:rsidP="008348C7">
      <w:pPr>
        <w:spacing w:after="0" w:line="276" w:lineRule="auto"/>
        <w:rPr>
          <w:rFonts w:cstheme="minorHAnsi"/>
        </w:rPr>
      </w:pPr>
    </w:p>
    <w:p w14:paraId="6783BE98" w14:textId="2A249ED7" w:rsidR="00AD3725" w:rsidRDefault="003B4874" w:rsidP="008348C7">
      <w:pPr>
        <w:ind w:left="360"/>
      </w:pPr>
      <w:r>
        <w:rPr>
          <w:noProof/>
        </w:rPr>
        <w:lastRenderedPageBreak/>
        <w:drawing>
          <wp:inline distT="0" distB="0" distL="0" distR="0" wp14:anchorId="781AA973" wp14:editId="65E0BD6D">
            <wp:extent cx="5943600" cy="334457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344578"/>
                    </a:xfrm>
                    <a:prstGeom prst="rect">
                      <a:avLst/>
                    </a:prstGeom>
                    <a:noFill/>
                    <a:ln>
                      <a:noFill/>
                    </a:ln>
                  </pic:spPr>
                </pic:pic>
              </a:graphicData>
            </a:graphic>
          </wp:inline>
        </w:drawing>
      </w:r>
    </w:p>
    <w:p w14:paraId="4433AAF4" w14:textId="57F3E155" w:rsidR="00AD3725" w:rsidRPr="00AD3725" w:rsidRDefault="00AD3725" w:rsidP="009D20CA">
      <w:pPr>
        <w:ind w:left="360"/>
        <w:jc w:val="center"/>
        <w:rPr>
          <w:i/>
        </w:rPr>
      </w:pPr>
      <w:r w:rsidRPr="00AD3725">
        <w:rPr>
          <w:i/>
        </w:rPr>
        <w:t xml:space="preserve">Figure 1. </w:t>
      </w:r>
      <w:r w:rsidR="004F6B47">
        <w:rPr>
          <w:i/>
        </w:rPr>
        <w:t>Lower Marian River looking towards Marian Lake</w:t>
      </w:r>
    </w:p>
    <w:p w14:paraId="0D323566" w14:textId="77777777" w:rsidR="00AD3725" w:rsidRDefault="00AD3725" w:rsidP="00DA54B4">
      <w:pPr>
        <w:ind w:left="360"/>
      </w:pPr>
    </w:p>
    <w:p w14:paraId="5A374CF7" w14:textId="77777777" w:rsidR="00DA54B4" w:rsidRPr="00A41A62" w:rsidRDefault="00DA54B4" w:rsidP="00DA54B4">
      <w:pPr>
        <w:pStyle w:val="ListParagraph"/>
        <w:numPr>
          <w:ilvl w:val="0"/>
          <w:numId w:val="1"/>
        </w:numPr>
        <w:rPr>
          <w:b/>
        </w:rPr>
      </w:pPr>
      <w:r w:rsidRPr="00A41A62">
        <w:rPr>
          <w:b/>
        </w:rPr>
        <w:t xml:space="preserve">Background (Provide information on the </w:t>
      </w:r>
      <w:bookmarkStart w:id="1" w:name="_Hlk134005270"/>
      <w:r w:rsidRPr="00B85B3E">
        <w:rPr>
          <w:b/>
          <w:u w:val="single"/>
        </w:rPr>
        <w:t>affected wildlife</w:t>
      </w:r>
      <w:r w:rsidRPr="00A41A62">
        <w:rPr>
          <w:b/>
        </w:rPr>
        <w:t xml:space="preserve"> species </w:t>
      </w:r>
      <w:bookmarkEnd w:id="1"/>
      <w:r w:rsidRPr="00A41A62">
        <w:rPr>
          <w:b/>
        </w:rPr>
        <w:t xml:space="preserve">and </w:t>
      </w:r>
      <w:r w:rsidRPr="00B85B3E">
        <w:rPr>
          <w:b/>
          <w:u w:val="single"/>
        </w:rPr>
        <w:t>management issue</w:t>
      </w:r>
      <w:r w:rsidRPr="00A41A62">
        <w:rPr>
          <w:b/>
        </w:rPr>
        <w:t>)</w:t>
      </w:r>
    </w:p>
    <w:p w14:paraId="34A0719F" w14:textId="55F43CBB" w:rsidR="001C4955" w:rsidRPr="00F7346F" w:rsidRDefault="001C4955" w:rsidP="001C4955">
      <w:pPr>
        <w:rPr>
          <w:rFonts w:cstheme="minorHAnsi"/>
        </w:rPr>
      </w:pPr>
      <w:bookmarkStart w:id="2" w:name="_Hlk88477191"/>
      <w:r w:rsidRPr="00F7346F">
        <w:rPr>
          <w:rFonts w:cstheme="minorHAnsi"/>
        </w:rPr>
        <w:t xml:space="preserve">Since the </w:t>
      </w:r>
      <w:proofErr w:type="spellStart"/>
      <w:r w:rsidRPr="00F7346F">
        <w:rPr>
          <w:rFonts w:cstheme="minorHAnsi"/>
        </w:rPr>
        <w:t>Tłı̨chǫ</w:t>
      </w:r>
      <w:proofErr w:type="spellEnd"/>
      <w:r w:rsidRPr="00F7346F">
        <w:rPr>
          <w:rFonts w:cstheme="minorHAnsi"/>
        </w:rPr>
        <w:t xml:space="preserve"> Lands Moratorium was lifted in 2013, development pressure throughout the area known as </w:t>
      </w:r>
      <w:proofErr w:type="spellStart"/>
      <w:r w:rsidRPr="00F7346F">
        <w:rPr>
          <w:rFonts w:cstheme="minorHAnsi"/>
        </w:rPr>
        <w:t>Wek’èezhìi</w:t>
      </w:r>
      <w:proofErr w:type="spellEnd"/>
      <w:r w:rsidRPr="00F7346F">
        <w:rPr>
          <w:rFonts w:cstheme="minorHAnsi"/>
        </w:rPr>
        <w:t xml:space="preserve"> has grown, and communities were concerned about the impacts of current and future development on their lands. These concerns, particularly those surrounding the potential impacts of the Fortune Minerals NICO project, led to the development of the Marian Watershed Stewardship Program. This community-based aquatic effects monitoring program was designed to collect baseline data at sites prioritized by community members in order to identify the cumulative impacts of development, climate change, and increased use of the Marian Lake watershed. </w:t>
      </w:r>
      <w:bookmarkEnd w:id="2"/>
      <w:r w:rsidRPr="00F7346F">
        <w:rPr>
          <w:rFonts w:cstheme="minorHAnsi"/>
        </w:rPr>
        <w:t xml:space="preserve">This project is a joint initiative of the </w:t>
      </w:r>
      <w:proofErr w:type="spellStart"/>
      <w:r w:rsidRPr="00F7346F">
        <w:rPr>
          <w:rFonts w:cstheme="minorHAnsi"/>
        </w:rPr>
        <w:t>Tłı̨chǫ</w:t>
      </w:r>
      <w:proofErr w:type="spellEnd"/>
      <w:r w:rsidRPr="00F7346F">
        <w:rPr>
          <w:rFonts w:cstheme="minorHAnsi"/>
        </w:rPr>
        <w:t xml:space="preserve"> Government (</w:t>
      </w:r>
      <w:proofErr w:type="spellStart"/>
      <w:r w:rsidRPr="00F7346F">
        <w:rPr>
          <w:rFonts w:cstheme="minorHAnsi"/>
        </w:rPr>
        <w:t>Tłı̨chǫ</w:t>
      </w:r>
      <w:proofErr w:type="spellEnd"/>
      <w:r w:rsidRPr="00F7346F">
        <w:rPr>
          <w:rFonts w:cstheme="minorHAnsi"/>
        </w:rPr>
        <w:t xml:space="preserve"> </w:t>
      </w:r>
      <w:proofErr w:type="spellStart"/>
      <w:r w:rsidRPr="00F7346F">
        <w:rPr>
          <w:rFonts w:cstheme="minorHAnsi"/>
        </w:rPr>
        <w:t>Ndek’àowo</w:t>
      </w:r>
      <w:proofErr w:type="spellEnd"/>
      <w:r w:rsidRPr="00F7346F">
        <w:rPr>
          <w:rFonts w:cstheme="minorHAnsi"/>
        </w:rPr>
        <w:t xml:space="preserve">) and key project partners, including the </w:t>
      </w:r>
      <w:proofErr w:type="spellStart"/>
      <w:r w:rsidRPr="00F7346F">
        <w:rPr>
          <w:rFonts w:cstheme="minorHAnsi"/>
        </w:rPr>
        <w:t>Wek’èezhìi</w:t>
      </w:r>
      <w:proofErr w:type="spellEnd"/>
      <w:r w:rsidRPr="00F7346F">
        <w:rPr>
          <w:rFonts w:cstheme="minorHAnsi"/>
        </w:rPr>
        <w:t xml:space="preserve"> Land and Water Board, </w:t>
      </w:r>
      <w:bookmarkStart w:id="3" w:name="_Hlk80627317"/>
      <w:proofErr w:type="spellStart"/>
      <w:r w:rsidRPr="00F7346F">
        <w:rPr>
          <w:rFonts w:cstheme="minorHAnsi"/>
        </w:rPr>
        <w:t>Wek’èezhìi</w:t>
      </w:r>
      <w:bookmarkEnd w:id="3"/>
      <w:proofErr w:type="spellEnd"/>
      <w:r w:rsidRPr="00F7346F">
        <w:rPr>
          <w:rFonts w:cstheme="minorHAnsi"/>
        </w:rPr>
        <w:t xml:space="preserve"> Renewable Resource Board, DFO, GNWT-ENR, and AANDC. </w:t>
      </w:r>
    </w:p>
    <w:p w14:paraId="0D3F780A" w14:textId="691E0A63" w:rsidR="00F7346F" w:rsidRDefault="00F7346F" w:rsidP="001F484F">
      <w:pPr>
        <w:pStyle w:val="NormalWeb"/>
        <w:tabs>
          <w:tab w:val="left" w:pos="6480"/>
        </w:tabs>
        <w:spacing w:before="0" w:beforeAutospacing="0" w:after="0" w:afterAutospacing="0"/>
        <w:ind w:right="90"/>
        <w:rPr>
          <w:rFonts w:asciiTheme="minorHAnsi" w:eastAsiaTheme="minorHAnsi" w:hAnsiTheme="minorHAnsi" w:cstheme="minorHAnsi"/>
          <w:sz w:val="22"/>
          <w:szCs w:val="22"/>
          <w:lang w:val="en-US" w:eastAsia="en-US"/>
        </w:rPr>
      </w:pPr>
      <w:r w:rsidRPr="00F476C6">
        <w:rPr>
          <w:rFonts w:asciiTheme="minorHAnsi" w:eastAsiaTheme="minorHAnsi" w:hAnsiTheme="minorHAnsi" w:cstheme="minorHAnsi"/>
          <w:sz w:val="22"/>
          <w:szCs w:val="22"/>
        </w:rPr>
        <w:t>Currently, the program is in the repeat</w:t>
      </w:r>
      <w:r w:rsidRPr="00F476C6">
        <w:rPr>
          <w:rFonts w:asciiTheme="minorHAnsi" w:eastAsiaTheme="minorHAnsi" w:hAnsiTheme="minorHAnsi" w:cstheme="minorHAnsi"/>
          <w:sz w:val="22"/>
          <w:szCs w:val="22"/>
          <w:lang w:val="en-GB" w:eastAsia="en-US"/>
        </w:rPr>
        <w:t xml:space="preserve"> comparative sampling phase and sites are being visited and assessed for a </w:t>
      </w:r>
      <w:r w:rsidR="00F476C6" w:rsidRPr="00F476C6">
        <w:rPr>
          <w:rFonts w:asciiTheme="minorHAnsi" w:eastAsiaTheme="minorHAnsi" w:hAnsiTheme="minorHAnsi" w:cstheme="minorHAnsi"/>
          <w:sz w:val="22"/>
          <w:szCs w:val="22"/>
          <w:lang w:val="en-GB" w:eastAsia="en-US"/>
        </w:rPr>
        <w:t>fourth</w:t>
      </w:r>
      <w:r w:rsidRPr="00F476C6">
        <w:rPr>
          <w:rFonts w:asciiTheme="minorHAnsi" w:eastAsiaTheme="minorHAnsi" w:hAnsiTheme="minorHAnsi" w:cstheme="minorHAnsi"/>
          <w:sz w:val="22"/>
          <w:szCs w:val="22"/>
          <w:lang w:val="en-GB" w:eastAsia="en-US"/>
        </w:rPr>
        <w:t xml:space="preserve"> time. The MWSP will contribute to the implementation of the NWT Water Stewardship Strategy and Action Plan, and the continuing assessment of contaminant levels in traditional foods</w:t>
      </w:r>
      <w:r w:rsidR="00F476C6" w:rsidRPr="00F476C6">
        <w:rPr>
          <w:rFonts w:asciiTheme="minorHAnsi" w:eastAsiaTheme="minorHAnsi" w:hAnsiTheme="minorHAnsi" w:cstheme="minorHAnsi"/>
          <w:sz w:val="22"/>
          <w:szCs w:val="22"/>
          <w:lang w:val="en-GB" w:eastAsia="en-US"/>
        </w:rPr>
        <w:t>. In addition</w:t>
      </w:r>
      <w:r w:rsidRPr="00F476C6">
        <w:rPr>
          <w:rFonts w:asciiTheme="minorHAnsi" w:eastAsiaTheme="minorHAnsi" w:hAnsiTheme="minorHAnsi" w:cstheme="minorHAnsi"/>
          <w:sz w:val="22"/>
          <w:szCs w:val="22"/>
          <w:lang w:val="en-GB" w:eastAsia="en-US"/>
        </w:rPr>
        <w:t>, the MWSP promotes the understanding, and protection of source water for</w:t>
      </w:r>
      <w:r w:rsidRPr="00F476C6">
        <w:rPr>
          <w:rFonts w:asciiTheme="minorHAnsi" w:eastAsiaTheme="minorHAnsi" w:hAnsiTheme="minorHAnsi" w:cstheme="minorHAnsi"/>
          <w:sz w:val="22"/>
          <w:szCs w:val="22"/>
          <w:lang w:val="en-US" w:eastAsia="en-US"/>
        </w:rPr>
        <w:t xml:space="preserve"> </w:t>
      </w:r>
      <w:proofErr w:type="spellStart"/>
      <w:r w:rsidRPr="00F476C6">
        <w:rPr>
          <w:rFonts w:asciiTheme="minorHAnsi" w:eastAsiaTheme="minorHAnsi" w:hAnsiTheme="minorHAnsi" w:cstheme="minorHAnsi"/>
          <w:sz w:val="22"/>
          <w:szCs w:val="22"/>
          <w:lang w:val="en-US" w:eastAsia="en-US"/>
        </w:rPr>
        <w:t>Tłı̨cho</w:t>
      </w:r>
      <w:proofErr w:type="spellEnd"/>
      <w:r w:rsidRPr="00F476C6">
        <w:rPr>
          <w:rFonts w:asciiTheme="minorHAnsi" w:eastAsiaTheme="minorHAnsi" w:hAnsiTheme="minorHAnsi" w:cstheme="minorHAnsi"/>
          <w:sz w:val="22"/>
          <w:szCs w:val="22"/>
          <w:lang w:val="en-US" w:eastAsia="en-US"/>
        </w:rPr>
        <w:t>̨ communities.</w:t>
      </w:r>
    </w:p>
    <w:p w14:paraId="40816057" w14:textId="77777777" w:rsidR="001F484F" w:rsidRPr="001F484F" w:rsidRDefault="001F484F" w:rsidP="001F484F">
      <w:pPr>
        <w:pStyle w:val="NormalWeb"/>
        <w:tabs>
          <w:tab w:val="left" w:pos="6480"/>
        </w:tabs>
        <w:spacing w:before="0" w:beforeAutospacing="0" w:after="0" w:afterAutospacing="0"/>
        <w:ind w:right="90"/>
        <w:rPr>
          <w:rFonts w:ascii="Arial" w:eastAsiaTheme="minorHAnsi" w:hAnsi="Arial" w:cs="Arial"/>
          <w:sz w:val="22"/>
          <w:szCs w:val="22"/>
          <w:lang w:val="en-GB" w:eastAsia="en-US"/>
        </w:rPr>
      </w:pPr>
    </w:p>
    <w:p w14:paraId="0A33AACB" w14:textId="2F013C2D" w:rsidR="001C4955" w:rsidRPr="001C4955" w:rsidRDefault="001C4955" w:rsidP="001C4955">
      <w:pPr>
        <w:rPr>
          <w:rFonts w:cstheme="minorHAnsi"/>
        </w:rPr>
      </w:pPr>
      <w:r w:rsidRPr="001C4955">
        <w:rPr>
          <w:rFonts w:cstheme="minorHAnsi"/>
        </w:rPr>
        <w:t xml:space="preserve">The specific objectives of this program are: 1) To design and implement a community-based, regional-scale monitoring program for water quality and aquatic life upstream and downstream of the Fortune NICO site; 2) To build community capacity for these types of monitoring; 3) To collect baseline data prior to </w:t>
      </w:r>
      <w:r w:rsidR="00F476C6">
        <w:rPr>
          <w:rFonts w:cstheme="minorHAnsi"/>
        </w:rPr>
        <w:t xml:space="preserve">possible  future </w:t>
      </w:r>
      <w:r w:rsidRPr="001C4955">
        <w:rPr>
          <w:rFonts w:cstheme="minorHAnsi"/>
        </w:rPr>
        <w:t xml:space="preserve">operation of the proposed Fortune Minerals mine and to continue this data collection </w:t>
      </w:r>
      <w:r w:rsidRPr="001C4955">
        <w:rPr>
          <w:rFonts w:cstheme="minorHAnsi"/>
        </w:rPr>
        <w:lastRenderedPageBreak/>
        <w:t xml:space="preserve">in the future in order to consider cumulative impacts of development, land disturbance, and climate change on water quality (and quantity) in the Marian Watershed; 4) To develop a strong communication plan that will report results back to decision makers (communities, WLWB, </w:t>
      </w:r>
      <w:proofErr w:type="spellStart"/>
      <w:r w:rsidRPr="001C4955">
        <w:rPr>
          <w:rFonts w:cstheme="minorHAnsi"/>
        </w:rPr>
        <w:t>Tłı̨chǫ</w:t>
      </w:r>
      <w:proofErr w:type="spellEnd"/>
      <w:r w:rsidRPr="001C4955">
        <w:rPr>
          <w:rFonts w:cstheme="minorHAnsi"/>
        </w:rPr>
        <w:t xml:space="preserve"> Government, WRRB), CIMP, and other partners in a timely and consistent manner.</w:t>
      </w:r>
    </w:p>
    <w:p w14:paraId="1069A2B7" w14:textId="5D6E5486" w:rsidR="00A41A62" w:rsidRDefault="003A63C9" w:rsidP="003A63C9">
      <w:r>
        <w:t xml:space="preserve">Through this community-driven project, the TAEMP is collecting baseline information on fish life history and fish health to discern long-term changes while refining methods to monitor fish that build on both traditional </w:t>
      </w:r>
      <w:proofErr w:type="spellStart"/>
      <w:r>
        <w:t>Tłıchǫ</w:t>
      </w:r>
      <w:proofErr w:type="spellEnd"/>
      <w:r>
        <w:t xml:space="preserve"> knowledge and science. </w:t>
      </w:r>
      <w:r w:rsidR="00A41A62">
        <w:t xml:space="preserve">The species of focus varies somewhat </w:t>
      </w:r>
      <w:r w:rsidR="00A41A62" w:rsidRPr="0015154D">
        <w:rPr>
          <w:rFonts w:cstheme="minorHAnsi"/>
        </w:rPr>
        <w:t xml:space="preserve">based on the geography of the program. </w:t>
      </w:r>
    </w:p>
    <w:p w14:paraId="3F940A37" w14:textId="17DC3443" w:rsidR="00D85CDA" w:rsidRDefault="00B85B3E" w:rsidP="003A63C9">
      <w:r>
        <w:rPr>
          <w:b/>
        </w:rPr>
        <w:t>A</w:t>
      </w:r>
      <w:r w:rsidRPr="00A41A62">
        <w:rPr>
          <w:b/>
        </w:rPr>
        <w:t>ffected wildlife species</w:t>
      </w:r>
      <w:r>
        <w:rPr>
          <w:b/>
        </w:rPr>
        <w:t xml:space="preserve">: </w:t>
      </w:r>
      <w:r w:rsidR="00D85CDA">
        <w:t>The emphasis during the on</w:t>
      </w:r>
      <w:r w:rsidR="00F476C6">
        <w:t xml:space="preserve">-site part </w:t>
      </w:r>
      <w:r w:rsidR="00D85CDA">
        <w:t>o</w:t>
      </w:r>
      <w:r w:rsidR="00F006D2">
        <w:t>f</w:t>
      </w:r>
      <w:r w:rsidR="00D85CDA">
        <w:t xml:space="preserve"> the program is fish. Much time is spent teaching </w:t>
      </w:r>
      <w:r w:rsidR="00F006D2">
        <w:t>youth</w:t>
      </w:r>
      <w:r w:rsidR="00F476C6">
        <w:t>s</w:t>
      </w:r>
      <w:r w:rsidR="00D85CDA">
        <w:t xml:space="preserve"> about fish life history. In the watersheds where this program operates, there are two life history types exhibited by fish targeted during our monitoring:</w:t>
      </w:r>
    </w:p>
    <w:p w14:paraId="2D58C19D" w14:textId="7EA12247" w:rsidR="00D85CDA" w:rsidRDefault="00D85CDA" w:rsidP="003A63C9">
      <w:r>
        <w:t xml:space="preserve">1. </w:t>
      </w:r>
      <w:r w:rsidR="00BE510C">
        <w:t>Riverine</w:t>
      </w:r>
      <w:r>
        <w:t xml:space="preserve">: fish that </w:t>
      </w:r>
      <w:r w:rsidR="00827F5C">
        <w:t xml:space="preserve">spend their entire lives within the Marian River. </w:t>
      </w:r>
      <w:r>
        <w:t xml:space="preserve">This would include </w:t>
      </w:r>
      <w:r w:rsidR="00827F5C">
        <w:t xml:space="preserve">Northern Pike and Walleye and some </w:t>
      </w:r>
      <w:r>
        <w:t>Lake Whitefish</w:t>
      </w:r>
      <w:r w:rsidR="00827F5C">
        <w:t>.</w:t>
      </w:r>
    </w:p>
    <w:p w14:paraId="41087183" w14:textId="05CF1CAF" w:rsidR="00D85CDA" w:rsidRDefault="00D85CDA" w:rsidP="003A63C9">
      <w:r>
        <w:t xml:space="preserve">2. </w:t>
      </w:r>
      <w:proofErr w:type="spellStart"/>
      <w:r>
        <w:t>Adfluvial</w:t>
      </w:r>
      <w:proofErr w:type="spellEnd"/>
      <w:r>
        <w:t>: fish that rear and remain in lacustrine environments for the majority of their life cycle, but that spawn in rivers or streams associated with lakes. This would include Inconnu</w:t>
      </w:r>
      <w:r w:rsidR="00827F5C">
        <w:t xml:space="preserve"> and most Whitefish caught in the lower portion of the river.</w:t>
      </w:r>
    </w:p>
    <w:p w14:paraId="7BF78162" w14:textId="77777777" w:rsidR="00B85B3E" w:rsidRDefault="00B85B3E" w:rsidP="003A63C9">
      <w:r>
        <w:t>Current threats to fish stocks include pollution from distant sources, climate change, over-fishing and local mining development.</w:t>
      </w:r>
    </w:p>
    <w:p w14:paraId="246D93C2" w14:textId="67617E01" w:rsidR="00F006D2" w:rsidRDefault="00C71A70" w:rsidP="003A63C9">
      <w:r>
        <w:t>Water quality and sediment sampling are in support of our fish work and can provide important information on the overall health of the ecosystem.</w:t>
      </w:r>
    </w:p>
    <w:p w14:paraId="612B81CA" w14:textId="127E5AF9" w:rsidR="00B85B3E" w:rsidRDefault="00B85B3E" w:rsidP="003A63C9">
      <w:r w:rsidRPr="00B85B3E">
        <w:rPr>
          <w:b/>
        </w:rPr>
        <w:t>Management issues:</w:t>
      </w:r>
      <w:r>
        <w:t xml:space="preserve"> Currently, community members have the right to gillnet their fish. This small-scale subsistence fishery is sustainable and does not pose a problem in terms of management of local fish stocks. </w:t>
      </w:r>
      <w:r w:rsidR="00827F5C">
        <w:t>The</w:t>
      </w:r>
      <w:r w:rsidR="004F6B47">
        <w:t>re</w:t>
      </w:r>
      <w:r w:rsidR="00827F5C">
        <w:t xml:space="preserve"> was periodic interest from Yellowknife residents to open a guided angling service where clients would have fished in the lower Marian River. TG formally denied the request in a response letter in 2020. </w:t>
      </w:r>
    </w:p>
    <w:p w14:paraId="5D1EFF84" w14:textId="77777777" w:rsidR="003A63C9" w:rsidRDefault="003A63C9" w:rsidP="003A63C9"/>
    <w:p w14:paraId="093D62B1" w14:textId="77777777" w:rsidR="00DA54B4" w:rsidRPr="00BA657A" w:rsidRDefault="00DA54B4" w:rsidP="00DA54B4">
      <w:pPr>
        <w:pStyle w:val="ListParagraph"/>
        <w:numPr>
          <w:ilvl w:val="0"/>
          <w:numId w:val="1"/>
        </w:numPr>
        <w:rPr>
          <w:b/>
        </w:rPr>
      </w:pPr>
      <w:r w:rsidRPr="00BA657A">
        <w:rPr>
          <w:b/>
        </w:rPr>
        <w:t>Consultation and Community Outreach</w:t>
      </w:r>
    </w:p>
    <w:p w14:paraId="12FFDDD2" w14:textId="215086AB" w:rsidR="00E8731D" w:rsidRDefault="00C71A70" w:rsidP="00E8731D">
      <w:r w:rsidRPr="00EB14A0">
        <w:rPr>
          <w:rFonts w:cstheme="minorHAnsi"/>
        </w:rPr>
        <w:t xml:space="preserve">The </w:t>
      </w:r>
      <w:r w:rsidR="00827F5C" w:rsidRPr="00EB14A0">
        <w:rPr>
          <w:rFonts w:cstheme="minorHAnsi"/>
        </w:rPr>
        <w:t>MWSP</w:t>
      </w:r>
      <w:r w:rsidRPr="00EB14A0">
        <w:rPr>
          <w:rFonts w:cstheme="minorHAnsi"/>
        </w:rPr>
        <w:t xml:space="preserve"> is </w:t>
      </w:r>
      <w:proofErr w:type="spellStart"/>
      <w:r w:rsidRPr="00EB14A0">
        <w:rPr>
          <w:rFonts w:cstheme="minorHAnsi"/>
        </w:rPr>
        <w:t>Tłı̨chǫ</w:t>
      </w:r>
      <w:proofErr w:type="spellEnd"/>
      <w:r w:rsidRPr="00EB14A0">
        <w:rPr>
          <w:rFonts w:cstheme="minorHAnsi"/>
        </w:rPr>
        <w:t xml:space="preserve"> run and operated in collaboration with community</w:t>
      </w:r>
      <w:r w:rsidR="00827F5C" w:rsidRPr="00EB14A0">
        <w:rPr>
          <w:rFonts w:cstheme="minorHAnsi"/>
        </w:rPr>
        <w:t xml:space="preserve"> members primarily from </w:t>
      </w:r>
      <w:proofErr w:type="spellStart"/>
      <w:r w:rsidR="00EB14A0" w:rsidRPr="00EB14A0">
        <w:rPr>
          <w:rFonts w:cstheme="minorHAnsi"/>
          <w:shd w:val="clear" w:color="auto" w:fill="FFFFFF"/>
        </w:rPr>
        <w:t>Behchokǫ</w:t>
      </w:r>
      <w:proofErr w:type="spellEnd"/>
      <w:r w:rsidR="00EB14A0" w:rsidRPr="00EB14A0">
        <w:rPr>
          <w:rFonts w:cstheme="minorHAnsi"/>
          <w:shd w:val="clear" w:color="auto" w:fill="FFFFFF"/>
        </w:rPr>
        <w:t>̀</w:t>
      </w:r>
      <w:r w:rsidRPr="00EB14A0">
        <w:rPr>
          <w:rFonts w:cstheme="minorHAnsi"/>
        </w:rPr>
        <w:t xml:space="preserve">. </w:t>
      </w:r>
      <w:r w:rsidR="002201D2" w:rsidRPr="00EB14A0">
        <w:rPr>
          <w:rFonts w:cstheme="minorHAnsi"/>
        </w:rPr>
        <w:t>A</w:t>
      </w:r>
      <w:r w:rsidR="005138FD" w:rsidRPr="00EB14A0">
        <w:rPr>
          <w:rFonts w:cstheme="minorHAnsi"/>
        </w:rPr>
        <w:t xml:space="preserve">ll samples collected undergo </w:t>
      </w:r>
      <w:r w:rsidR="00941F38" w:rsidRPr="00EB14A0">
        <w:rPr>
          <w:rFonts w:cstheme="minorHAnsi"/>
        </w:rPr>
        <w:t>rigorous</w:t>
      </w:r>
      <w:r w:rsidR="005138FD" w:rsidRPr="00EB14A0">
        <w:rPr>
          <w:rFonts w:cstheme="minorHAnsi"/>
        </w:rPr>
        <w:t xml:space="preserve"> analysis. Once results become available, we return to the community </w:t>
      </w:r>
      <w:r w:rsidR="00CD1493" w:rsidRPr="00CD1493">
        <w:rPr>
          <w:rFonts w:cstheme="minorHAnsi"/>
          <w:lang w:val="en-GB"/>
        </w:rPr>
        <w:t>to report lab results to camp participants and interested community members.</w:t>
      </w:r>
      <w:r w:rsidR="005147DF">
        <w:rPr>
          <w:rFonts w:cstheme="minorHAnsi"/>
          <w:lang w:val="en-GB"/>
        </w:rPr>
        <w:t xml:space="preserve"> Furthermore, we issue periodic </w:t>
      </w:r>
      <w:r w:rsidR="00827F5C">
        <w:rPr>
          <w:rFonts w:cstheme="minorHAnsi"/>
          <w:lang w:val="en-GB"/>
        </w:rPr>
        <w:t>MWSP</w:t>
      </w:r>
      <w:r w:rsidR="005147DF">
        <w:rPr>
          <w:rFonts w:cstheme="minorHAnsi"/>
          <w:lang w:val="en-GB"/>
        </w:rPr>
        <w:t xml:space="preserve"> updates on the TG website. </w:t>
      </w:r>
    </w:p>
    <w:p w14:paraId="7CED79A2" w14:textId="2E5B8FFF" w:rsidR="00420D82" w:rsidRDefault="007765A8" w:rsidP="008348C7">
      <w:pPr>
        <w:jc w:val="center"/>
      </w:pPr>
      <w:r>
        <w:rPr>
          <w:noProof/>
        </w:rPr>
        <w:lastRenderedPageBreak/>
        <w:drawing>
          <wp:inline distT="0" distB="0" distL="0" distR="0" wp14:anchorId="09AFEBA7" wp14:editId="3CF01A1E">
            <wp:extent cx="5827370" cy="3788293"/>
            <wp:effectExtent l="0" t="0" r="2540" b="3175"/>
            <wp:docPr id="7" name="Picture 9" descr="N:\Active\Year 2014\1408361 Tlicho Fish Sampling Shoti Lake\1000 Fish Field Sampling Program\Photo journal\Second rapids portage 2.jpg">
              <a:extLst xmlns:a="http://schemas.openxmlformats.org/drawingml/2006/main">
                <a:ext uri="{FF2B5EF4-FFF2-40B4-BE49-F238E27FC236}">
                  <a16:creationId xmlns:a16="http://schemas.microsoft.com/office/drawing/2014/main" id="{D3B2F3C4-6E2A-47E6-BB69-D4398CF2C8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descr="N:\Active\Year 2014\1408361 Tlicho Fish Sampling Shoti Lake\1000 Fish Field Sampling Program\Photo journal\Second rapids portage 2.jpg">
                      <a:extLst>
                        <a:ext uri="{FF2B5EF4-FFF2-40B4-BE49-F238E27FC236}">
                          <a16:creationId xmlns:a16="http://schemas.microsoft.com/office/drawing/2014/main" id="{D3B2F3C4-6E2A-47E6-BB69-D4398CF2C8A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7370" cy="3788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D602C78" w14:textId="7B4CC3A4" w:rsidR="009D20CA" w:rsidRPr="00AD3725" w:rsidRDefault="009D20CA" w:rsidP="009D20CA">
      <w:pPr>
        <w:ind w:left="360"/>
        <w:jc w:val="center"/>
        <w:rPr>
          <w:i/>
        </w:rPr>
      </w:pPr>
      <w:r w:rsidRPr="00AD3725">
        <w:rPr>
          <w:i/>
        </w:rPr>
        <w:t xml:space="preserve">Figure </w:t>
      </w:r>
      <w:r w:rsidR="002201D2">
        <w:rPr>
          <w:i/>
        </w:rPr>
        <w:t>2</w:t>
      </w:r>
      <w:r w:rsidRPr="00AD3725">
        <w:rPr>
          <w:i/>
        </w:rPr>
        <w:t xml:space="preserve">. </w:t>
      </w:r>
      <w:r w:rsidR="007765A8">
        <w:rPr>
          <w:i/>
        </w:rPr>
        <w:t>MWSP group prepares to tackle 2</w:t>
      </w:r>
      <w:r w:rsidR="007765A8" w:rsidRPr="007765A8">
        <w:rPr>
          <w:i/>
          <w:vertAlign w:val="superscript"/>
        </w:rPr>
        <w:t>nd</w:t>
      </w:r>
      <w:r w:rsidR="007765A8">
        <w:rPr>
          <w:i/>
        </w:rPr>
        <w:t xml:space="preserve"> portage</w:t>
      </w:r>
    </w:p>
    <w:p w14:paraId="1FC89797" w14:textId="77777777" w:rsidR="002201D2" w:rsidRDefault="002201D2" w:rsidP="007765A8"/>
    <w:p w14:paraId="6D6C4B94" w14:textId="77777777" w:rsidR="00DA54B4" w:rsidRPr="00420D82" w:rsidRDefault="00DA54B4" w:rsidP="00DA54B4">
      <w:pPr>
        <w:pStyle w:val="ListParagraph"/>
        <w:numPr>
          <w:ilvl w:val="0"/>
          <w:numId w:val="1"/>
        </w:numPr>
        <w:rPr>
          <w:b/>
        </w:rPr>
      </w:pPr>
      <w:r w:rsidRPr="00420D82">
        <w:rPr>
          <w:b/>
        </w:rPr>
        <w:t>Relevant Background Supporting Documentation</w:t>
      </w:r>
    </w:p>
    <w:p w14:paraId="6E9C50CB" w14:textId="77777777" w:rsidR="00420D82" w:rsidRDefault="00420D82" w:rsidP="00420D82">
      <w:pPr>
        <w:pStyle w:val="ListParagraph"/>
      </w:pPr>
    </w:p>
    <w:p w14:paraId="7DD46877" w14:textId="77777777" w:rsidR="00420D82" w:rsidRPr="00CD1493" w:rsidRDefault="00420D82" w:rsidP="00420D82">
      <w:pPr>
        <w:rPr>
          <w:rStyle w:val="Hyperlink"/>
          <w:rFonts w:cstheme="minorHAnsi"/>
        </w:rPr>
      </w:pPr>
      <w:r w:rsidRPr="00CD1493">
        <w:rPr>
          <w:rFonts w:cstheme="minorHAnsi"/>
        </w:rPr>
        <w:t xml:space="preserve">Arctic Monitoring and Assessment Program (AMAP). 2011. </w:t>
      </w:r>
      <w:r w:rsidRPr="00CD1493">
        <w:rPr>
          <w:rFonts w:cstheme="minorHAnsi"/>
          <w:i/>
        </w:rPr>
        <w:t>Arctic Pollution 2011(Mercury).</w:t>
      </w:r>
      <w:r w:rsidRPr="00CD1493">
        <w:rPr>
          <w:rFonts w:cstheme="minorHAnsi"/>
        </w:rPr>
        <w:t xml:space="preserve"> Available at: </w:t>
      </w:r>
      <w:hyperlink r:id="rId9" w:history="1">
        <w:r w:rsidRPr="00CD1493">
          <w:rPr>
            <w:rStyle w:val="Hyperlink"/>
            <w:rFonts w:cstheme="minorHAnsi"/>
          </w:rPr>
          <w:t>http://www.amap.no/documents/doc/arctic-pollution-2011-mercury/89</w:t>
        </w:r>
      </w:hyperlink>
    </w:p>
    <w:p w14:paraId="58B88CA6" w14:textId="77777777" w:rsidR="00420D82" w:rsidRPr="00CD1493" w:rsidRDefault="00420D82" w:rsidP="00420D82">
      <w:pPr>
        <w:rPr>
          <w:rFonts w:cstheme="minorHAnsi"/>
        </w:rPr>
      </w:pPr>
      <w:proofErr w:type="spellStart"/>
      <w:r w:rsidRPr="00CD1493">
        <w:rPr>
          <w:rFonts w:cstheme="minorHAnsi"/>
        </w:rPr>
        <w:t>Babaluk</w:t>
      </w:r>
      <w:proofErr w:type="spellEnd"/>
      <w:r w:rsidRPr="00CD1493">
        <w:rPr>
          <w:rFonts w:cstheme="minorHAnsi"/>
        </w:rPr>
        <w:t xml:space="preserve">, J.A., </w:t>
      </w:r>
      <w:proofErr w:type="spellStart"/>
      <w:r w:rsidRPr="00CD1493">
        <w:rPr>
          <w:rFonts w:cstheme="minorHAnsi"/>
        </w:rPr>
        <w:t>Sawatzky</w:t>
      </w:r>
      <w:proofErr w:type="spellEnd"/>
      <w:r w:rsidRPr="00CD1493">
        <w:rPr>
          <w:rFonts w:cstheme="minorHAnsi"/>
        </w:rPr>
        <w:t xml:space="preserve">, C.D., Watkinson, D.A., Tate, D.P., </w:t>
      </w:r>
      <w:proofErr w:type="spellStart"/>
      <w:r w:rsidRPr="00CD1493">
        <w:rPr>
          <w:rFonts w:cstheme="minorHAnsi"/>
        </w:rPr>
        <w:t>Mochnacz</w:t>
      </w:r>
      <w:proofErr w:type="spellEnd"/>
      <w:r w:rsidRPr="00CD1493">
        <w:rPr>
          <w:rFonts w:cstheme="minorHAnsi"/>
        </w:rPr>
        <w:t xml:space="preserve">, N.J., and </w:t>
      </w:r>
      <w:proofErr w:type="spellStart"/>
      <w:r w:rsidRPr="00CD1493">
        <w:rPr>
          <w:rFonts w:cstheme="minorHAnsi"/>
        </w:rPr>
        <w:t>Reist</w:t>
      </w:r>
      <w:proofErr w:type="spellEnd"/>
      <w:r w:rsidRPr="00CD1493">
        <w:rPr>
          <w:rFonts w:cstheme="minorHAnsi"/>
        </w:rPr>
        <w:t xml:space="preserve">, J.D. 2015. Distributions of fish species within the South Nahanni River watershed, Northwest Territories. Can. </w:t>
      </w:r>
      <w:proofErr w:type="spellStart"/>
      <w:r w:rsidRPr="00CD1493">
        <w:rPr>
          <w:rFonts w:cstheme="minorHAnsi"/>
        </w:rPr>
        <w:t>Manuscr</w:t>
      </w:r>
      <w:proofErr w:type="spellEnd"/>
      <w:r w:rsidRPr="00CD1493">
        <w:rPr>
          <w:rFonts w:cstheme="minorHAnsi"/>
        </w:rPr>
        <w:t xml:space="preserve">. Rep. Fish. </w:t>
      </w:r>
      <w:proofErr w:type="spellStart"/>
      <w:r w:rsidRPr="00CD1493">
        <w:rPr>
          <w:rFonts w:cstheme="minorHAnsi"/>
        </w:rPr>
        <w:t>Aquat</w:t>
      </w:r>
      <w:proofErr w:type="spellEnd"/>
      <w:r w:rsidRPr="00CD1493">
        <w:rPr>
          <w:rFonts w:cstheme="minorHAnsi"/>
        </w:rPr>
        <w:t>. Sci. 3064: vii + 91 p.</w:t>
      </w:r>
    </w:p>
    <w:p w14:paraId="3AF89A0A" w14:textId="0534C5FD" w:rsidR="00420D82" w:rsidRDefault="00420D82" w:rsidP="00147635">
      <w:pPr>
        <w:pStyle w:val="PlainText"/>
        <w:rPr>
          <w:rFonts w:asciiTheme="minorHAnsi" w:hAnsiTheme="minorHAnsi" w:cstheme="minorHAnsi"/>
          <w:sz w:val="22"/>
          <w:szCs w:val="22"/>
          <w:lang w:val="en-US"/>
        </w:rPr>
      </w:pPr>
      <w:proofErr w:type="spellStart"/>
      <w:r w:rsidRPr="00CD1493">
        <w:rPr>
          <w:rFonts w:asciiTheme="minorHAnsi" w:hAnsiTheme="minorHAnsi" w:cstheme="minorHAnsi"/>
          <w:sz w:val="22"/>
          <w:szCs w:val="22"/>
          <w:lang w:val="en-US"/>
        </w:rPr>
        <w:t>Bodaly</w:t>
      </w:r>
      <w:proofErr w:type="spellEnd"/>
      <w:r w:rsidRPr="00CD1493">
        <w:rPr>
          <w:rFonts w:asciiTheme="minorHAnsi" w:hAnsiTheme="minorHAnsi" w:cstheme="minorHAnsi"/>
          <w:sz w:val="22"/>
          <w:szCs w:val="22"/>
          <w:lang w:val="en-US"/>
        </w:rPr>
        <w:t xml:space="preserve">, R.A., J. W.M. Rudd, R.J.P. Fudge, and C.A. Kelly. 1993. Mercury concentrations in fish related to size of remote Canadian Shield lakes. </w:t>
      </w:r>
      <w:r w:rsidRPr="00CD1493">
        <w:rPr>
          <w:rFonts w:asciiTheme="minorHAnsi" w:hAnsiTheme="minorHAnsi" w:cstheme="minorHAnsi"/>
          <w:i/>
          <w:sz w:val="22"/>
          <w:szCs w:val="22"/>
          <w:lang w:val="en-US"/>
        </w:rPr>
        <w:t xml:space="preserve">Can. J. Fish. </w:t>
      </w:r>
      <w:proofErr w:type="spellStart"/>
      <w:r w:rsidRPr="00CD1493">
        <w:rPr>
          <w:rFonts w:asciiTheme="minorHAnsi" w:hAnsiTheme="minorHAnsi" w:cstheme="minorHAnsi"/>
          <w:i/>
          <w:sz w:val="22"/>
          <w:szCs w:val="22"/>
          <w:lang w:val="en-US"/>
        </w:rPr>
        <w:t>Aquat</w:t>
      </w:r>
      <w:proofErr w:type="spellEnd"/>
      <w:r w:rsidRPr="00CD1493">
        <w:rPr>
          <w:rFonts w:asciiTheme="minorHAnsi" w:hAnsiTheme="minorHAnsi" w:cstheme="minorHAnsi"/>
          <w:i/>
          <w:sz w:val="22"/>
          <w:szCs w:val="22"/>
          <w:lang w:val="en-US"/>
        </w:rPr>
        <w:t>. Sci</w:t>
      </w:r>
      <w:r w:rsidRPr="00CD1493">
        <w:rPr>
          <w:rFonts w:asciiTheme="minorHAnsi" w:hAnsiTheme="minorHAnsi" w:cstheme="minorHAnsi"/>
          <w:sz w:val="22"/>
          <w:szCs w:val="22"/>
          <w:lang w:val="en-US"/>
        </w:rPr>
        <w:t>. 50: 980-987.</w:t>
      </w:r>
    </w:p>
    <w:p w14:paraId="6E3A5463" w14:textId="77777777" w:rsidR="00147635" w:rsidRPr="00147635" w:rsidRDefault="00147635" w:rsidP="00147635">
      <w:pPr>
        <w:pStyle w:val="PlainText"/>
        <w:rPr>
          <w:rFonts w:asciiTheme="minorHAnsi" w:hAnsiTheme="minorHAnsi" w:cstheme="minorHAnsi"/>
          <w:sz w:val="22"/>
          <w:szCs w:val="22"/>
          <w:lang w:val="en-US"/>
        </w:rPr>
      </w:pPr>
    </w:p>
    <w:p w14:paraId="4EC4433D" w14:textId="34C4C06B" w:rsidR="00420D82" w:rsidRPr="00CD1493" w:rsidRDefault="00420D82" w:rsidP="00420D82">
      <w:pPr>
        <w:rPr>
          <w:rFonts w:cstheme="minorHAnsi"/>
        </w:rPr>
      </w:pPr>
      <w:r w:rsidRPr="00CD1493">
        <w:rPr>
          <w:rFonts w:cstheme="minorHAnsi"/>
        </w:rPr>
        <w:t xml:space="preserve">Cabana, G.A., </w:t>
      </w:r>
      <w:proofErr w:type="spellStart"/>
      <w:proofErr w:type="gramStart"/>
      <w:r w:rsidRPr="00CD1493">
        <w:rPr>
          <w:rFonts w:cstheme="minorHAnsi"/>
        </w:rPr>
        <w:t>J.Tremblay</w:t>
      </w:r>
      <w:proofErr w:type="spellEnd"/>
      <w:proofErr w:type="gramEnd"/>
      <w:r w:rsidRPr="00CD1493">
        <w:rPr>
          <w:rFonts w:cstheme="minorHAnsi"/>
        </w:rPr>
        <w:t>, and J.B. Rasmussen. 1994. Pelagic Food-Chain Structure in Ontario Lakes: A Determinant of Mercury Levels in Lake trout (</w:t>
      </w:r>
      <w:r w:rsidRPr="00CD1493">
        <w:rPr>
          <w:rFonts w:cstheme="minorHAnsi"/>
          <w:i/>
        </w:rPr>
        <w:t>Salvelinus</w:t>
      </w:r>
      <w:r w:rsidR="00546A29">
        <w:rPr>
          <w:rFonts w:cstheme="minorHAnsi"/>
          <w:i/>
        </w:rPr>
        <w:t xml:space="preserve"> </w:t>
      </w:r>
      <w:proofErr w:type="spellStart"/>
      <w:r w:rsidR="00546A29">
        <w:rPr>
          <w:rFonts w:cstheme="minorHAnsi"/>
          <w:i/>
        </w:rPr>
        <w:t>n</w:t>
      </w:r>
      <w:r w:rsidRPr="00CD1493">
        <w:rPr>
          <w:rFonts w:cstheme="minorHAnsi"/>
          <w:i/>
        </w:rPr>
        <w:t>amaycush</w:t>
      </w:r>
      <w:proofErr w:type="spellEnd"/>
      <w:r w:rsidRPr="00CD1493">
        <w:rPr>
          <w:rFonts w:cstheme="minorHAnsi"/>
        </w:rPr>
        <w:t xml:space="preserve">). </w:t>
      </w:r>
      <w:r w:rsidRPr="00CD1493">
        <w:rPr>
          <w:rFonts w:cstheme="minorHAnsi"/>
          <w:i/>
        </w:rPr>
        <w:t xml:space="preserve">Can. Fish. </w:t>
      </w:r>
      <w:proofErr w:type="spellStart"/>
      <w:r w:rsidRPr="00CD1493">
        <w:rPr>
          <w:rFonts w:cstheme="minorHAnsi"/>
          <w:i/>
        </w:rPr>
        <w:t>Aquat</w:t>
      </w:r>
      <w:proofErr w:type="spellEnd"/>
      <w:r w:rsidRPr="00CD1493">
        <w:rPr>
          <w:rFonts w:cstheme="minorHAnsi"/>
        </w:rPr>
        <w:t>. Sci. 51:381-389.</w:t>
      </w:r>
    </w:p>
    <w:p w14:paraId="5A545CF1" w14:textId="77777777" w:rsidR="00420D82" w:rsidRPr="00CD1493" w:rsidRDefault="00420D82" w:rsidP="00420D82">
      <w:pPr>
        <w:rPr>
          <w:rFonts w:cstheme="minorHAnsi"/>
          <w:color w:val="0563C1" w:themeColor="hyperlink"/>
          <w:u w:val="single"/>
        </w:rPr>
      </w:pPr>
      <w:r w:rsidRPr="00CD1493">
        <w:rPr>
          <w:rFonts w:cstheme="minorHAnsi"/>
        </w:rPr>
        <w:t xml:space="preserve">Canadian Council of Ministers of the Environment (CCME). 2014. </w:t>
      </w:r>
      <w:r w:rsidRPr="00CD1493">
        <w:rPr>
          <w:rFonts w:cstheme="minorHAnsi"/>
          <w:i/>
        </w:rPr>
        <w:t>Canadian Environmental Quality Guidelines</w:t>
      </w:r>
      <w:r w:rsidRPr="00CD1493">
        <w:rPr>
          <w:rFonts w:cstheme="minorHAnsi"/>
        </w:rPr>
        <w:t xml:space="preserve">. Available at: </w:t>
      </w:r>
      <w:hyperlink r:id="rId10" w:anchor="void" w:history="1">
        <w:r w:rsidRPr="00CD1493">
          <w:rPr>
            <w:rStyle w:val="Hyperlink"/>
            <w:rFonts w:cstheme="minorHAnsi"/>
          </w:rPr>
          <w:t>http://ceqg-rcqe.ccme.ca/en/index.html#void</w:t>
        </w:r>
      </w:hyperlink>
    </w:p>
    <w:p w14:paraId="717E64F6" w14:textId="77777777" w:rsidR="00420D82" w:rsidRPr="00C94A95" w:rsidRDefault="00420D82" w:rsidP="00420D82">
      <w:pPr>
        <w:rPr>
          <w:rFonts w:ascii="Arial" w:hAnsi="Arial"/>
        </w:rPr>
      </w:pPr>
      <w:r w:rsidRPr="00CD1493">
        <w:rPr>
          <w:rFonts w:cstheme="minorHAnsi"/>
        </w:rPr>
        <w:t xml:space="preserve">Environment Canada. 2012. </w:t>
      </w:r>
      <w:r w:rsidRPr="00CD1493">
        <w:rPr>
          <w:rFonts w:cstheme="minorHAnsi"/>
          <w:i/>
        </w:rPr>
        <w:t>Metal Mining Technical Guidance for Environmental Effects Monitoring</w:t>
      </w:r>
      <w:r w:rsidRPr="00CD1493">
        <w:rPr>
          <w:rFonts w:cstheme="minorHAnsi"/>
        </w:rPr>
        <w:t xml:space="preserve">. Available at: </w:t>
      </w:r>
      <w:hyperlink r:id="rId11" w:history="1">
        <w:r w:rsidRPr="00CD1493">
          <w:rPr>
            <w:rStyle w:val="Hyperlink"/>
            <w:rFonts w:cstheme="minorHAnsi"/>
          </w:rPr>
          <w:t>https://www.ec.gc.ca/esee-eem/AEC7C481-D66F-4B9B-BA08-A5DC960CDE5E/COM-1434---Tec-Guide-for-Metal-Mining-Env-Effects-Monitoring_En_02%5B1%5D.pdf</w:t>
        </w:r>
      </w:hyperlink>
      <w:r w:rsidRPr="00C94A95">
        <w:rPr>
          <w:rFonts w:ascii="Arial" w:hAnsi="Arial"/>
        </w:rPr>
        <w:t xml:space="preserve">. </w:t>
      </w:r>
    </w:p>
    <w:p w14:paraId="18F42249" w14:textId="77777777" w:rsidR="00420D82" w:rsidRPr="00CD1493" w:rsidRDefault="00420D82" w:rsidP="00420D82">
      <w:pPr>
        <w:pStyle w:val="FootnoteText"/>
        <w:rPr>
          <w:rFonts w:cstheme="minorHAnsi"/>
          <w:sz w:val="22"/>
          <w:szCs w:val="22"/>
        </w:rPr>
      </w:pPr>
      <w:r w:rsidRPr="00CD1493">
        <w:rPr>
          <w:rFonts w:cstheme="minorHAnsi"/>
          <w:sz w:val="22"/>
          <w:szCs w:val="22"/>
        </w:rPr>
        <w:lastRenderedPageBreak/>
        <w:t xml:space="preserve">Government of Northwest Territories Health and Social services (GNWT HSS) 2015.  </w:t>
      </w:r>
      <w:r w:rsidRPr="00CD1493">
        <w:rPr>
          <w:rFonts w:cstheme="minorHAnsi"/>
          <w:i/>
          <w:sz w:val="22"/>
          <w:szCs w:val="22"/>
        </w:rPr>
        <w:t>Northwest Territories Nutritional Food Fact Series</w:t>
      </w:r>
      <w:r w:rsidRPr="00CD1493">
        <w:rPr>
          <w:rFonts w:cstheme="minorHAnsi"/>
          <w:sz w:val="22"/>
          <w:szCs w:val="22"/>
        </w:rPr>
        <w:t xml:space="preserve">. Available at: </w:t>
      </w:r>
      <w:hyperlink r:id="rId12" w:history="1">
        <w:r w:rsidRPr="00CD1493">
          <w:rPr>
            <w:rStyle w:val="Hyperlink"/>
            <w:rFonts w:cstheme="minorHAnsi"/>
            <w:sz w:val="22"/>
            <w:szCs w:val="22"/>
          </w:rPr>
          <w:t>http://www.hss.gov.nt.ca/publications/brochures-fact-sheets/northwest-territories-nutritional-food-fact-sheets-series</w:t>
        </w:r>
      </w:hyperlink>
    </w:p>
    <w:p w14:paraId="68D41A2B" w14:textId="77777777" w:rsidR="00420D82" w:rsidRPr="00CD1493" w:rsidRDefault="00420D82" w:rsidP="00420D82">
      <w:pPr>
        <w:pStyle w:val="FootnoteText"/>
        <w:rPr>
          <w:rFonts w:cstheme="minorHAnsi"/>
          <w:sz w:val="22"/>
          <w:szCs w:val="22"/>
        </w:rPr>
      </w:pPr>
    </w:p>
    <w:p w14:paraId="2BFCC0AF" w14:textId="77777777" w:rsidR="00420D82" w:rsidRPr="00CD1493" w:rsidRDefault="00420D82" w:rsidP="00420D82">
      <w:pPr>
        <w:rPr>
          <w:rFonts w:cstheme="minorHAnsi"/>
        </w:rPr>
      </w:pPr>
      <w:r w:rsidRPr="00CD1493">
        <w:rPr>
          <w:rFonts w:cstheme="minorHAnsi"/>
        </w:rPr>
        <w:t xml:space="preserve">Health Canada. 2014a. </w:t>
      </w:r>
      <w:r w:rsidRPr="00CD1493">
        <w:rPr>
          <w:rFonts w:cstheme="minorHAnsi"/>
          <w:i/>
        </w:rPr>
        <w:t>Canadian Standards (Maximum Levels) for Various Chemical Contaminants in Foods</w:t>
      </w:r>
      <w:r w:rsidRPr="00CD1493">
        <w:rPr>
          <w:rFonts w:cstheme="minorHAnsi"/>
        </w:rPr>
        <w:t xml:space="preserve">. Available at: </w:t>
      </w:r>
      <w:hyperlink r:id="rId13" w:history="1">
        <w:r w:rsidRPr="00CD1493">
          <w:rPr>
            <w:rStyle w:val="Hyperlink"/>
            <w:rFonts w:cstheme="minorHAnsi"/>
          </w:rPr>
          <w:t>http://www.hc-sc.gc.ca/fn-an/securit/chem-chim/contaminants-guidelines-directives-eng.php</w:t>
        </w:r>
      </w:hyperlink>
    </w:p>
    <w:p w14:paraId="1A78C3FB" w14:textId="77777777" w:rsidR="00420D82" w:rsidRPr="00147635" w:rsidRDefault="00420D82" w:rsidP="00420D82">
      <w:pPr>
        <w:rPr>
          <w:rFonts w:cstheme="minorHAnsi"/>
        </w:rPr>
      </w:pPr>
      <w:r w:rsidRPr="00CD1493">
        <w:rPr>
          <w:rFonts w:cstheme="minorHAnsi"/>
        </w:rPr>
        <w:t xml:space="preserve">Health Canada. 2014b. </w:t>
      </w:r>
      <w:r w:rsidRPr="00CD1493">
        <w:rPr>
          <w:rFonts w:cstheme="minorHAnsi"/>
          <w:i/>
        </w:rPr>
        <w:t xml:space="preserve">Guidelines for Canadian Drinking Water Quality - Summary </w:t>
      </w:r>
      <w:proofErr w:type="spellStart"/>
      <w:r w:rsidRPr="00CD1493">
        <w:rPr>
          <w:rFonts w:cstheme="minorHAnsi"/>
          <w:i/>
        </w:rPr>
        <w:t>Table</w:t>
      </w:r>
      <w:r w:rsidRPr="00CD1493">
        <w:rPr>
          <w:rFonts w:cstheme="minorHAnsi"/>
        </w:rPr>
        <w:t>Available</w:t>
      </w:r>
      <w:proofErr w:type="spellEnd"/>
      <w:r w:rsidRPr="00CD1493">
        <w:rPr>
          <w:rFonts w:cstheme="minorHAnsi"/>
        </w:rPr>
        <w:t xml:space="preserve"> at: </w:t>
      </w:r>
      <w:hyperlink r:id="rId14" w:history="1">
        <w:r w:rsidRPr="00CD1493">
          <w:rPr>
            <w:rStyle w:val="Hyperlink"/>
            <w:rFonts w:cstheme="minorHAnsi"/>
            <w:color w:val="0070C0"/>
          </w:rPr>
          <w:t>http://www.hc-sc.gc.ca/ewh-semt/pubs/water-eau/sum_guide-res_recom/index-eng.php</w:t>
        </w:r>
      </w:hyperlink>
    </w:p>
    <w:p w14:paraId="260335D3" w14:textId="77777777" w:rsidR="00420D82" w:rsidRPr="00CD1493" w:rsidRDefault="00420D82" w:rsidP="00420D82">
      <w:pPr>
        <w:rPr>
          <w:rFonts w:cstheme="minorHAnsi"/>
        </w:rPr>
      </w:pPr>
      <w:r w:rsidRPr="00CD1493">
        <w:rPr>
          <w:rFonts w:cstheme="minorHAnsi"/>
        </w:rPr>
        <w:t>Health Canada. 2015. Mercury in Fish Questions and Answers. Available at:</w:t>
      </w:r>
      <w:hyperlink r:id="rId15" w:history="1">
        <w:r w:rsidRPr="00CD1493">
          <w:rPr>
            <w:rStyle w:val="Hyperlink"/>
            <w:rFonts w:cstheme="minorHAnsi"/>
          </w:rPr>
          <w:t>http://www.hc-sc.gc.ca/fn-an/securit/chem-chim/environ/mercur/merc_fish_qa-poisson_qr-eng.php</w:t>
        </w:r>
      </w:hyperlink>
      <w:r w:rsidRPr="00CD1493">
        <w:rPr>
          <w:rFonts w:cstheme="minorHAnsi"/>
        </w:rPr>
        <w:t xml:space="preserve">. </w:t>
      </w:r>
    </w:p>
    <w:p w14:paraId="50A9A2E6" w14:textId="2F7565E4" w:rsidR="00420D82" w:rsidRDefault="00420D82" w:rsidP="00420D82">
      <w:pPr>
        <w:rPr>
          <w:rFonts w:cstheme="minorHAnsi"/>
        </w:rPr>
      </w:pPr>
      <w:proofErr w:type="spellStart"/>
      <w:r w:rsidRPr="00CD1493">
        <w:rPr>
          <w:rFonts w:cstheme="minorHAnsi"/>
        </w:rPr>
        <w:t>Sawatzky</w:t>
      </w:r>
      <w:proofErr w:type="spellEnd"/>
      <w:r w:rsidRPr="00CD1493">
        <w:rPr>
          <w:rFonts w:cstheme="minorHAnsi"/>
        </w:rPr>
        <w:t xml:space="preserve">, C.D., D. Michalak, J.D. </w:t>
      </w:r>
      <w:proofErr w:type="spellStart"/>
      <w:r w:rsidRPr="00CD1493">
        <w:rPr>
          <w:rFonts w:cstheme="minorHAnsi"/>
        </w:rPr>
        <w:t>Reist</w:t>
      </w:r>
      <w:proofErr w:type="spellEnd"/>
      <w:r w:rsidRPr="00CD1493">
        <w:rPr>
          <w:rFonts w:cstheme="minorHAnsi"/>
        </w:rPr>
        <w:t xml:space="preserve">, T.J. Carmichael, N.E. </w:t>
      </w:r>
      <w:proofErr w:type="spellStart"/>
      <w:r w:rsidRPr="00CD1493">
        <w:rPr>
          <w:rFonts w:cstheme="minorHAnsi"/>
        </w:rPr>
        <w:t>Mandrak</w:t>
      </w:r>
      <w:proofErr w:type="spellEnd"/>
      <w:r w:rsidRPr="00CD1493">
        <w:rPr>
          <w:rFonts w:cstheme="minorHAnsi"/>
        </w:rPr>
        <w:t xml:space="preserve">, and L.G. </w:t>
      </w:r>
      <w:proofErr w:type="spellStart"/>
      <w:r w:rsidRPr="00CD1493">
        <w:rPr>
          <w:rFonts w:cstheme="minorHAnsi"/>
        </w:rPr>
        <w:t>Heuring</w:t>
      </w:r>
      <w:proofErr w:type="spellEnd"/>
      <w:r w:rsidRPr="00CD1493">
        <w:rPr>
          <w:rFonts w:cstheme="minorHAnsi"/>
        </w:rPr>
        <w:t xml:space="preserve">. 2007. Distributions of freshwater and anadromous fishes from the mainland Northwest Territories, Canada. Can. </w:t>
      </w:r>
      <w:proofErr w:type="spellStart"/>
      <w:r w:rsidRPr="00CD1493">
        <w:rPr>
          <w:rFonts w:cstheme="minorHAnsi"/>
        </w:rPr>
        <w:t>Manuscr</w:t>
      </w:r>
      <w:proofErr w:type="spellEnd"/>
      <w:r w:rsidRPr="00CD1493">
        <w:rPr>
          <w:rFonts w:cstheme="minorHAnsi"/>
        </w:rPr>
        <w:t xml:space="preserve">. Rep. Fish. </w:t>
      </w:r>
      <w:proofErr w:type="spellStart"/>
      <w:r w:rsidRPr="00CD1493">
        <w:rPr>
          <w:rFonts w:cstheme="minorHAnsi"/>
        </w:rPr>
        <w:t>Aquat</w:t>
      </w:r>
      <w:proofErr w:type="spellEnd"/>
      <w:r w:rsidRPr="00CD1493">
        <w:rPr>
          <w:rFonts w:cstheme="minorHAnsi"/>
        </w:rPr>
        <w:t xml:space="preserve"> Sci. 2793: xiv + 239 p.</w:t>
      </w:r>
    </w:p>
    <w:p w14:paraId="40312B8D" w14:textId="77777777" w:rsidR="00546A29" w:rsidRPr="00CD1493" w:rsidRDefault="00546A29" w:rsidP="00546A29">
      <w:pPr>
        <w:rPr>
          <w:rFonts w:cstheme="minorHAnsi"/>
          <w:color w:val="232323"/>
          <w:shd w:val="clear" w:color="auto" w:fill="FFFFFF"/>
        </w:rPr>
      </w:pPr>
      <w:r w:rsidRPr="00CD1493">
        <w:rPr>
          <w:rFonts w:cstheme="minorHAnsi"/>
          <w:color w:val="232323"/>
          <w:shd w:val="clear" w:color="auto" w:fill="FFFFFF"/>
        </w:rPr>
        <w:t>Scott, W.B. and Crossman, E.J. (1973) Freshwater Fishes of Canada. Bulletin of the Fisheries Research Board of Canada, 184, 966 p.</w:t>
      </w:r>
    </w:p>
    <w:p w14:paraId="177A1505" w14:textId="77777777" w:rsidR="002201D2" w:rsidRDefault="002201D2" w:rsidP="00420D82"/>
    <w:p w14:paraId="41851F9B" w14:textId="77777777" w:rsidR="00DA54B4" w:rsidRDefault="00DA54B4" w:rsidP="00DA54B4">
      <w:pPr>
        <w:pStyle w:val="ListParagraph"/>
        <w:numPr>
          <w:ilvl w:val="0"/>
          <w:numId w:val="1"/>
        </w:numPr>
        <w:rPr>
          <w:b/>
        </w:rPr>
      </w:pPr>
      <w:r w:rsidRPr="00420D82">
        <w:rPr>
          <w:b/>
        </w:rPr>
        <w:t>Timeline</w:t>
      </w:r>
    </w:p>
    <w:p w14:paraId="2B1A5F64" w14:textId="77777777" w:rsidR="002201D2" w:rsidRPr="002334DD" w:rsidRDefault="002201D2" w:rsidP="002334DD">
      <w:pPr>
        <w:spacing w:after="0" w:line="276" w:lineRule="auto"/>
        <w:ind w:left="360"/>
        <w:rPr>
          <w:rFonts w:cstheme="minorHAnsi"/>
        </w:rPr>
      </w:pPr>
      <w:r>
        <w:rPr>
          <w:rFonts w:cstheme="minorHAnsi"/>
        </w:rPr>
        <w:t xml:space="preserve">Each year of the program consists of a </w:t>
      </w:r>
      <w:r w:rsidR="002334DD">
        <w:rPr>
          <w:rFonts w:cstheme="minorHAnsi"/>
        </w:rPr>
        <w:t>summer</w:t>
      </w:r>
      <w:r>
        <w:rPr>
          <w:rFonts w:cstheme="minorHAnsi"/>
        </w:rPr>
        <w:t xml:space="preserve"> i</w:t>
      </w:r>
      <w:r w:rsidRPr="002201D2">
        <w:rPr>
          <w:rFonts w:cstheme="minorHAnsi"/>
        </w:rPr>
        <w:t>ntroductory and planning workshop</w:t>
      </w:r>
      <w:r>
        <w:rPr>
          <w:rFonts w:cstheme="minorHAnsi"/>
        </w:rPr>
        <w:t xml:space="preserve"> followed by a fall o</w:t>
      </w:r>
      <w:r w:rsidRPr="002201D2">
        <w:rPr>
          <w:rFonts w:cstheme="minorHAnsi"/>
        </w:rPr>
        <w:t>n-the land camp</w:t>
      </w:r>
      <w:r w:rsidR="002334DD">
        <w:rPr>
          <w:rFonts w:cstheme="minorHAnsi"/>
        </w:rPr>
        <w:t>. The r</w:t>
      </w:r>
      <w:r w:rsidRPr="002334DD">
        <w:rPr>
          <w:rFonts w:cstheme="minorHAnsi"/>
        </w:rPr>
        <w:t xml:space="preserve">esults workshop </w:t>
      </w:r>
      <w:r w:rsidR="002334DD">
        <w:rPr>
          <w:rFonts w:cstheme="minorHAnsi"/>
        </w:rPr>
        <w:t>is typically held in late winter prior to the end of the fiscal year.</w:t>
      </w:r>
    </w:p>
    <w:p w14:paraId="2DCA5041" w14:textId="77777777" w:rsidR="00AD3725" w:rsidRDefault="00AD3725" w:rsidP="00AD3725">
      <w:pPr>
        <w:rPr>
          <w:b/>
        </w:rPr>
      </w:pPr>
    </w:p>
    <w:p w14:paraId="457587AF" w14:textId="77777777" w:rsidR="00AD3725" w:rsidRDefault="00AD3725" w:rsidP="00AD3725">
      <w:pPr>
        <w:rPr>
          <w:b/>
        </w:rPr>
      </w:pPr>
    </w:p>
    <w:p w14:paraId="48E315A5" w14:textId="39609903" w:rsidR="00AD3725" w:rsidRDefault="00AD3725" w:rsidP="008348C7">
      <w:pPr>
        <w:jc w:val="center"/>
        <w:rPr>
          <w:b/>
        </w:rPr>
      </w:pPr>
    </w:p>
    <w:p w14:paraId="1A834AE5" w14:textId="77777777" w:rsidR="002334DD" w:rsidRPr="00AD3725" w:rsidRDefault="002334DD" w:rsidP="008348C7">
      <w:pPr>
        <w:jc w:val="center"/>
        <w:rPr>
          <w:b/>
        </w:rPr>
      </w:pPr>
      <w:bookmarkStart w:id="4" w:name="_GoBack"/>
      <w:bookmarkEnd w:id="4"/>
    </w:p>
    <w:sectPr w:rsidR="002334DD" w:rsidRPr="00AD3725">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CBB4" w16cex:dateUtc="2023-05-03T18:01:00Z"/>
  <w16cex:commentExtensible w16cex:durableId="27FCEA96" w16cex:dateUtc="2023-05-03T20:13:00Z"/>
  <w16cex:commentExtensible w16cex:durableId="27FCE9F0" w16cex:dateUtc="2023-05-03T20:10:00Z"/>
  <w16cex:commentExtensible w16cex:durableId="27FCEB46" w16cex:dateUtc="2023-05-03T20:16:00Z"/>
  <w16cex:commentExtensible w16cex:durableId="27FCEC19" w16cex:dateUtc="2023-05-03T20:20:00Z"/>
  <w16cex:commentExtensible w16cex:durableId="27FCF0FF" w16cex:dateUtc="2023-05-03T20:41:00Z"/>
  <w16cex:commentExtensible w16cex:durableId="27FCF09E" w16cex:dateUtc="2023-05-03T20:3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51C28"/>
    <w:multiLevelType w:val="hybridMultilevel"/>
    <w:tmpl w:val="E646D2FA"/>
    <w:lvl w:ilvl="0" w:tplc="629ED0C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78A23A0"/>
    <w:multiLevelType w:val="hybridMultilevel"/>
    <w:tmpl w:val="F65AA5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ACF05C8"/>
    <w:multiLevelType w:val="hybridMultilevel"/>
    <w:tmpl w:val="F47491D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zsDQyMzUyNDA3NbBQ0lEKTi0uzszPAykwrAUAM1bJ+iwAAAA="/>
  </w:docVars>
  <w:rsids>
    <w:rsidRoot w:val="00DA54B4"/>
    <w:rsid w:val="00070710"/>
    <w:rsid w:val="000C27AC"/>
    <w:rsid w:val="00147635"/>
    <w:rsid w:val="0015154D"/>
    <w:rsid w:val="001C4955"/>
    <w:rsid w:val="001F484F"/>
    <w:rsid w:val="002201D2"/>
    <w:rsid w:val="002334DD"/>
    <w:rsid w:val="002D60AF"/>
    <w:rsid w:val="003754DB"/>
    <w:rsid w:val="003A63C9"/>
    <w:rsid w:val="003B4874"/>
    <w:rsid w:val="003E494F"/>
    <w:rsid w:val="00420D82"/>
    <w:rsid w:val="004F6B47"/>
    <w:rsid w:val="005138FD"/>
    <w:rsid w:val="005147DF"/>
    <w:rsid w:val="00546A29"/>
    <w:rsid w:val="006A1FB2"/>
    <w:rsid w:val="0075161C"/>
    <w:rsid w:val="007765A8"/>
    <w:rsid w:val="007D2B99"/>
    <w:rsid w:val="00811B43"/>
    <w:rsid w:val="00827F5C"/>
    <w:rsid w:val="008348C7"/>
    <w:rsid w:val="008C3CE1"/>
    <w:rsid w:val="00941F38"/>
    <w:rsid w:val="009A24D5"/>
    <w:rsid w:val="009B703E"/>
    <w:rsid w:val="009D20CA"/>
    <w:rsid w:val="00A41A62"/>
    <w:rsid w:val="00A57013"/>
    <w:rsid w:val="00AD3725"/>
    <w:rsid w:val="00B83431"/>
    <w:rsid w:val="00B85B3E"/>
    <w:rsid w:val="00BA657A"/>
    <w:rsid w:val="00BE510C"/>
    <w:rsid w:val="00C71A70"/>
    <w:rsid w:val="00CD1493"/>
    <w:rsid w:val="00CF46C2"/>
    <w:rsid w:val="00D31FFD"/>
    <w:rsid w:val="00D85CDA"/>
    <w:rsid w:val="00D906B2"/>
    <w:rsid w:val="00DA515E"/>
    <w:rsid w:val="00DA54B4"/>
    <w:rsid w:val="00DD2720"/>
    <w:rsid w:val="00E47C9E"/>
    <w:rsid w:val="00E8731D"/>
    <w:rsid w:val="00E9166D"/>
    <w:rsid w:val="00EB14A0"/>
    <w:rsid w:val="00F006D2"/>
    <w:rsid w:val="00F125D7"/>
    <w:rsid w:val="00F476C6"/>
    <w:rsid w:val="00F7346F"/>
    <w:rsid w:val="00FA5E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8BF7"/>
  <w15:chartTrackingRefBased/>
  <w15:docId w15:val="{DC10FECA-615D-4DB1-8E4E-5BCFD906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4B4"/>
    <w:rPr>
      <w:color w:val="0563C1" w:themeColor="hyperlink"/>
      <w:u w:val="single"/>
    </w:rPr>
  </w:style>
  <w:style w:type="character" w:styleId="UnresolvedMention">
    <w:name w:val="Unresolved Mention"/>
    <w:basedOn w:val="DefaultParagraphFont"/>
    <w:uiPriority w:val="99"/>
    <w:semiHidden/>
    <w:unhideWhenUsed/>
    <w:rsid w:val="00DA54B4"/>
    <w:rPr>
      <w:color w:val="605E5C"/>
      <w:shd w:val="clear" w:color="auto" w:fill="E1DFDD"/>
    </w:rPr>
  </w:style>
  <w:style w:type="paragraph" w:styleId="ListParagraph">
    <w:name w:val="List Paragraph"/>
    <w:basedOn w:val="Normal"/>
    <w:link w:val="ListParagraphChar"/>
    <w:uiPriority w:val="34"/>
    <w:qFormat/>
    <w:rsid w:val="00DA54B4"/>
    <w:pPr>
      <w:ind w:left="720"/>
      <w:contextualSpacing/>
    </w:pPr>
  </w:style>
  <w:style w:type="paragraph" w:styleId="FootnoteText">
    <w:name w:val="footnote text"/>
    <w:basedOn w:val="Normal"/>
    <w:link w:val="FootnoteTextChar"/>
    <w:uiPriority w:val="99"/>
    <w:unhideWhenUsed/>
    <w:rsid w:val="00420D82"/>
    <w:pPr>
      <w:spacing w:after="0" w:line="276" w:lineRule="auto"/>
      <w:contextualSpacing/>
    </w:pPr>
    <w:rPr>
      <w:rFonts w:cs="Arial"/>
      <w:sz w:val="20"/>
      <w:szCs w:val="20"/>
      <w:lang w:val="en-GB"/>
    </w:rPr>
  </w:style>
  <w:style w:type="character" w:customStyle="1" w:styleId="FootnoteTextChar">
    <w:name w:val="Footnote Text Char"/>
    <w:basedOn w:val="DefaultParagraphFont"/>
    <w:link w:val="FootnoteText"/>
    <w:uiPriority w:val="99"/>
    <w:rsid w:val="00420D82"/>
    <w:rPr>
      <w:rFonts w:cs="Arial"/>
      <w:sz w:val="20"/>
      <w:szCs w:val="20"/>
      <w:lang w:val="en-GB"/>
    </w:rPr>
  </w:style>
  <w:style w:type="paragraph" w:styleId="PlainText">
    <w:name w:val="Plain Text"/>
    <w:basedOn w:val="Normal"/>
    <w:link w:val="PlainTextChar"/>
    <w:uiPriority w:val="99"/>
    <w:unhideWhenUsed/>
    <w:rsid w:val="00420D8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20D82"/>
    <w:rPr>
      <w:rFonts w:ascii="Consolas" w:hAnsi="Consolas" w:cs="Consolas"/>
      <w:sz w:val="21"/>
      <w:szCs w:val="21"/>
    </w:rPr>
  </w:style>
  <w:style w:type="character" w:customStyle="1" w:styleId="ListParagraphChar">
    <w:name w:val="List Paragraph Char"/>
    <w:basedOn w:val="DefaultParagraphFont"/>
    <w:link w:val="ListParagraph"/>
    <w:uiPriority w:val="34"/>
    <w:rsid w:val="00FA5E5D"/>
  </w:style>
  <w:style w:type="character" w:styleId="Emphasis">
    <w:name w:val="Emphasis"/>
    <w:basedOn w:val="DefaultParagraphFont"/>
    <w:uiPriority w:val="20"/>
    <w:qFormat/>
    <w:rsid w:val="0015154D"/>
    <w:rPr>
      <w:i/>
      <w:iCs/>
    </w:rPr>
  </w:style>
  <w:style w:type="character" w:styleId="CommentReference">
    <w:name w:val="annotation reference"/>
    <w:basedOn w:val="DefaultParagraphFont"/>
    <w:uiPriority w:val="99"/>
    <w:semiHidden/>
    <w:unhideWhenUsed/>
    <w:rsid w:val="0075161C"/>
    <w:rPr>
      <w:sz w:val="16"/>
      <w:szCs w:val="16"/>
    </w:rPr>
  </w:style>
  <w:style w:type="paragraph" w:styleId="CommentText">
    <w:name w:val="annotation text"/>
    <w:basedOn w:val="Normal"/>
    <w:link w:val="CommentTextChar"/>
    <w:uiPriority w:val="99"/>
    <w:unhideWhenUsed/>
    <w:rsid w:val="0075161C"/>
    <w:pPr>
      <w:spacing w:line="240" w:lineRule="auto"/>
    </w:pPr>
    <w:rPr>
      <w:sz w:val="20"/>
      <w:szCs w:val="20"/>
    </w:rPr>
  </w:style>
  <w:style w:type="character" w:customStyle="1" w:styleId="CommentTextChar">
    <w:name w:val="Comment Text Char"/>
    <w:basedOn w:val="DefaultParagraphFont"/>
    <w:link w:val="CommentText"/>
    <w:uiPriority w:val="99"/>
    <w:rsid w:val="0075161C"/>
    <w:rPr>
      <w:sz w:val="20"/>
      <w:szCs w:val="20"/>
    </w:rPr>
  </w:style>
  <w:style w:type="paragraph" w:styleId="CommentSubject">
    <w:name w:val="annotation subject"/>
    <w:basedOn w:val="CommentText"/>
    <w:next w:val="CommentText"/>
    <w:link w:val="CommentSubjectChar"/>
    <w:uiPriority w:val="99"/>
    <w:semiHidden/>
    <w:unhideWhenUsed/>
    <w:rsid w:val="0075161C"/>
    <w:rPr>
      <w:b/>
      <w:bCs/>
    </w:rPr>
  </w:style>
  <w:style w:type="character" w:customStyle="1" w:styleId="CommentSubjectChar">
    <w:name w:val="Comment Subject Char"/>
    <w:basedOn w:val="CommentTextChar"/>
    <w:link w:val="CommentSubject"/>
    <w:uiPriority w:val="99"/>
    <w:semiHidden/>
    <w:rsid w:val="0075161C"/>
    <w:rPr>
      <w:b/>
      <w:bCs/>
      <w:sz w:val="20"/>
      <w:szCs w:val="20"/>
    </w:rPr>
  </w:style>
  <w:style w:type="paragraph" w:styleId="Revision">
    <w:name w:val="Revision"/>
    <w:hidden/>
    <w:uiPriority w:val="99"/>
    <w:semiHidden/>
    <w:rsid w:val="00F006D2"/>
    <w:pPr>
      <w:spacing w:after="0" w:line="240" w:lineRule="auto"/>
    </w:pPr>
  </w:style>
  <w:style w:type="paragraph" w:styleId="BalloonText">
    <w:name w:val="Balloon Text"/>
    <w:basedOn w:val="Normal"/>
    <w:link w:val="BalloonTextChar"/>
    <w:uiPriority w:val="99"/>
    <w:semiHidden/>
    <w:unhideWhenUsed/>
    <w:rsid w:val="00C71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A70"/>
    <w:rPr>
      <w:rFonts w:ascii="Segoe UI" w:hAnsi="Segoe UI" w:cs="Segoe UI"/>
      <w:sz w:val="18"/>
      <w:szCs w:val="18"/>
    </w:rPr>
  </w:style>
  <w:style w:type="paragraph" w:styleId="NormalWeb">
    <w:name w:val="Normal (Web)"/>
    <w:basedOn w:val="Normal"/>
    <w:uiPriority w:val="99"/>
    <w:unhideWhenUsed/>
    <w:rsid w:val="00F7346F"/>
    <w:pPr>
      <w:spacing w:before="100" w:beforeAutospacing="1" w:after="100" w:afterAutospacing="1" w:line="276" w:lineRule="auto"/>
    </w:pPr>
    <w:rPr>
      <w:rFonts w:ascii="Verdana" w:eastAsia="Times New Roman" w:hAnsi="Verdana"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9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c-sc.gc.ca/fn-an/securit/chem-chim/contaminants-guidelines-directives-eng.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ss.gov.nt.ca/publications/brochures-fact-sheets/northwest-territories-nutritional-food-fact-sheets-se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aul.vecsei@tlicho.ca" TargetMode="External"/><Relationship Id="rId11" Type="http://schemas.openxmlformats.org/officeDocument/2006/relationships/hyperlink" Target="https://www.ec.gc.ca/esee-eem/AEC7C481-D66F-4B9B-BA08-A5DC960CDE5E/COM-1434---Tec-Guide-for-Metal-Mining-Env-Effects-Monitoring_En_02%5B1%5D.pdf" TargetMode="External"/><Relationship Id="rId5" Type="http://schemas.openxmlformats.org/officeDocument/2006/relationships/hyperlink" Target="mailto:Michael.birlea@tlicho.ca" TargetMode="External"/><Relationship Id="rId15" Type="http://schemas.openxmlformats.org/officeDocument/2006/relationships/hyperlink" Target="http://www.hc-sc.gc.ca/fn-an/securit/chem-chim/environ/mercur/merc_fish_qa-poisson_qr-eng.php" TargetMode="External"/><Relationship Id="rId10" Type="http://schemas.openxmlformats.org/officeDocument/2006/relationships/hyperlink" Target="http://ceqg-rcqe.ccme.ca/en/index.html"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amap.no/documents/doc/arctic-pollution-2011-mercury/89" TargetMode="External"/><Relationship Id="rId14" Type="http://schemas.openxmlformats.org/officeDocument/2006/relationships/hyperlink" Target="http://www.hc-sc.gc.ca/ewh-semt/pubs/water-eau/sum_guide-res_recom/index-e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5</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Tlicho Government</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Vecsei</dc:creator>
  <cp:keywords/>
  <dc:description/>
  <cp:lastModifiedBy>Paul Vecsei</cp:lastModifiedBy>
  <cp:revision>10</cp:revision>
  <dcterms:created xsi:type="dcterms:W3CDTF">2023-05-10T17:25:00Z</dcterms:created>
  <dcterms:modified xsi:type="dcterms:W3CDTF">2023-06-06T20:52:00Z</dcterms:modified>
</cp:coreProperties>
</file>